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NVATM Agreements</w:t>
        <w:br/>
        <w:t>and Service Rates</w:t>
      </w:r>
    </w:p>
    <w:p>
      <w:r>
        <w:t>October 7, 2026 | Revision 3 | Direct NVATM operation</w:t>
      </w:r>
    </w:p>
    <w:p>
      <w:r>
        <w:t>Clear terms for NVATM-owned placements, business-owned ATM purchases, training, optional monthly management, paid service and custom wraps. Choose the agreement for your actual ownership and operating plan; each party’s duties and charges must be written down.</w:t>
      </w:r>
    </w:p>
    <w:p>
      <w:pPr>
        <w:pStyle w:val="Heading2"/>
      </w:pPr>
      <w:r>
        <w:t>Who you contract with</w:t>
      </w:r>
    </w:p>
    <w:p>
      <w:r>
        <w:t>The NVATM contracting party is Matthew Winterhawk, an individual sole proprietor doing business as NVATM. NVATM is a trade name, not a separate LLC or corporation. Your merchant placement agreement is with NVATM. An optional contractor does not become your business partner or an additional placement counterparty merely by working on the machine.</w:t>
      </w:r>
    </w:p>
    <w:tbl>
      <w:tblPr>
        <w:tblW w:type="auto" w:w="0"/>
        <w:tblLayout w:type="fixed"/>
        <w:tblLook w:firstColumn="1" w:firstRow="1" w:lastColumn="0" w:lastRow="0" w:noHBand="0" w:noVBand="1" w:val="04A0"/>
      </w:tblPr>
      <w:tblGrid>
        <w:gridCol w:w="3744"/>
        <w:gridCol w:w="6192"/>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Document</w:t>
            </w:r>
          </w:p>
        </w:tc>
        <w:tc>
          <w:tcPr>
            <w:tcW w:type="dxa" w:w="4997"/>
            <w:shd w:fill="E9EDF1"/>
            <w:tcMar>
              <w:top w:w="65" w:type="dxa"/>
              <w:bottom w:w="65" w:type="dxa"/>
              <w:left w:w="85" w:type="dxa"/>
              <w:right w:w="85" w:type="dxa"/>
            </w:tcMar>
          </w:tcPr>
          <w:p>
            <w:pPr>
              <w:spacing w:after="20" w:line="240" w:lineRule="auto"/>
            </w:pPr>
            <w:r>
              <w:rPr>
                <w:b/>
                <w:sz w:val="20"/>
              </w:rPr>
              <w:t>Required parties / use</w:t>
            </w:r>
          </w:p>
        </w:tc>
      </w:tr>
      <w:tr>
        <w:trPr>
          <w:cantSplit/>
        </w:trPr>
        <w:tc>
          <w:tcPr>
            <w:tcW w:type="dxa" w:w="3744"/>
            <w:shd w:fill="FFFFFF"/>
            <w:tcMar>
              <w:top w:w="65" w:type="dxa"/>
              <w:bottom w:w="65" w:type="dxa"/>
              <w:left w:w="85" w:type="dxa"/>
              <w:right w:w="85" w:type="dxa"/>
            </w:tcMar>
          </w:tcPr>
          <w:p>
            <w:pPr>
              <w:spacing w:after="20" w:line="240" w:lineRule="auto"/>
            </w:pPr>
            <w:r>
              <w:rPr>
                <w:b w:val="0"/>
                <w:sz w:val="20"/>
              </w:rPr>
              <w:t>Merchant placement agreement</w:t>
            </w:r>
          </w:p>
        </w:tc>
        <w:tc>
          <w:tcPr>
            <w:tcW w:type="dxa" w:w="6192"/>
            <w:shd w:fill="FFFFFF"/>
            <w:tcMar>
              <w:top w:w="65" w:type="dxa"/>
              <w:bottom w:w="65" w:type="dxa"/>
              <w:left w:w="85" w:type="dxa"/>
              <w:right w:w="85" w:type="dxa"/>
            </w:tcMar>
          </w:tcPr>
          <w:p>
            <w:pPr>
              <w:spacing w:after="20" w:line="240" w:lineRule="auto"/>
            </w:pPr>
            <w:r>
              <w:rPr>
                <w:b w:val="0"/>
                <w:sz w:val="20"/>
              </w:rPr>
              <w:t>Merchant and NVATM, with completed location schedule.</w:t>
            </w:r>
          </w:p>
        </w:tc>
      </w:tr>
      <w:tr>
        <w:trPr>
          <w:cantSplit/>
        </w:trPr>
        <w:tc>
          <w:tcPr>
            <w:tcW w:type="dxa" w:w="3744"/>
            <w:shd w:fill="FFFFFF"/>
            <w:tcMar>
              <w:top w:w="65" w:type="dxa"/>
              <w:bottom w:w="65" w:type="dxa"/>
              <w:left w:w="85" w:type="dxa"/>
              <w:right w:w="85" w:type="dxa"/>
            </w:tcMar>
          </w:tcPr>
          <w:p>
            <w:pPr>
              <w:spacing w:after="20" w:line="240" w:lineRule="auto"/>
            </w:pPr>
            <w:r>
              <w:rPr>
                <w:b w:val="0"/>
                <w:sz w:val="20"/>
              </w:rPr>
              <w:t>Site and operating schedule</w:t>
            </w:r>
          </w:p>
        </w:tc>
        <w:tc>
          <w:tcPr>
            <w:tcW w:type="dxa" w:w="6192"/>
            <w:shd w:fill="FFFFFF"/>
            <w:tcMar>
              <w:top w:w="65" w:type="dxa"/>
              <w:bottom w:w="65" w:type="dxa"/>
              <w:left w:w="85" w:type="dxa"/>
              <w:right w:w="85" w:type="dxa"/>
            </w:tcMar>
          </w:tcPr>
          <w:p>
            <w:pPr>
              <w:spacing w:after="20" w:line="240" w:lineRule="auto"/>
            </w:pPr>
            <w:r>
              <w:rPr>
                <w:b w:val="0"/>
                <w:sz w:val="20"/>
              </w:rPr>
              <w:t>Merchant and NVATM; supports the placement agreement.</w:t>
            </w:r>
          </w:p>
        </w:tc>
      </w:tr>
      <w:tr>
        <w:trPr>
          <w:cantSplit/>
        </w:trPr>
        <w:tc>
          <w:tcPr>
            <w:tcW w:type="dxa" w:w="3744"/>
            <w:shd w:fill="FFFFFF"/>
            <w:tcMar>
              <w:top w:w="65" w:type="dxa"/>
              <w:bottom w:w="65" w:type="dxa"/>
              <w:left w:w="85" w:type="dxa"/>
              <w:right w:w="85" w:type="dxa"/>
            </w:tcMar>
          </w:tcPr>
          <w:p>
            <w:pPr>
              <w:spacing w:after="20" w:line="240" w:lineRule="auto"/>
            </w:pPr>
            <w:r>
              <w:rPr>
                <w:b w:val="0"/>
                <w:sz w:val="20"/>
              </w:rPr>
              <w:t>Standalone service agreement and job order</w:t>
            </w:r>
          </w:p>
        </w:tc>
        <w:tc>
          <w:tcPr>
            <w:tcW w:type="dxa" w:w="6192"/>
            <w:shd w:fill="FFFFFF"/>
            <w:tcMar>
              <w:top w:w="65" w:type="dxa"/>
              <w:bottom w:w="65" w:type="dxa"/>
              <w:left w:w="85" w:type="dxa"/>
              <w:right w:w="85" w:type="dxa"/>
            </w:tcMar>
          </w:tcPr>
          <w:p>
            <w:pPr>
              <w:spacing w:after="20" w:line="240" w:lineRule="auto"/>
            </w:pPr>
            <w:r>
              <w:rPr>
                <w:b w:val="0"/>
                <w:sz w:val="20"/>
              </w:rPr>
              <w:t>Customer and NVATM for separately purchased service.</w:t>
            </w:r>
          </w:p>
        </w:tc>
      </w:tr>
      <w:tr>
        <w:trPr>
          <w:cantSplit/>
        </w:trPr>
        <w:tc>
          <w:tcPr>
            <w:tcW w:type="dxa" w:w="3744"/>
            <w:shd w:fill="FFFFFF"/>
            <w:tcMar>
              <w:top w:w="65" w:type="dxa"/>
              <w:bottom w:w="65" w:type="dxa"/>
              <w:left w:w="85" w:type="dxa"/>
              <w:right w:w="85" w:type="dxa"/>
            </w:tcMar>
          </w:tcPr>
          <w:p>
            <w:pPr>
              <w:spacing w:after="20" w:line="240" w:lineRule="auto"/>
            </w:pPr>
            <w:r>
              <w:rPr>
                <w:b w:val="0"/>
                <w:sz w:val="20"/>
              </w:rPr>
              <w:t>Custom wrap authorization</w:t>
            </w:r>
          </w:p>
        </w:tc>
        <w:tc>
          <w:tcPr>
            <w:tcW w:type="dxa" w:w="6192"/>
            <w:shd w:fill="FFFFFF"/>
            <w:tcMar>
              <w:top w:w="65" w:type="dxa"/>
              <w:bottom w:w="65" w:type="dxa"/>
              <w:left w:w="85" w:type="dxa"/>
              <w:right w:w="85" w:type="dxa"/>
            </w:tcMar>
          </w:tcPr>
          <w:p>
            <w:pPr>
              <w:spacing w:after="20" w:line="240" w:lineRule="auto"/>
            </w:pPr>
            <w:r>
              <w:rPr>
                <w:b w:val="0"/>
                <w:sz w:val="20"/>
              </w:rPr>
              <w:t>Customer and quote provider; separate installer only if expressly a direct contracting party.</w:t>
            </w:r>
          </w:p>
        </w:tc>
      </w:tr>
      <w:tr>
        <w:trPr>
          <w:cantSplit/>
        </w:trPr>
        <w:tc>
          <w:tcPr>
            <w:tcW w:type="dxa" w:w="3744"/>
            <w:shd w:fill="FFFFFF"/>
            <w:tcMar>
              <w:top w:w="65" w:type="dxa"/>
              <w:bottom w:w="65" w:type="dxa"/>
              <w:left w:w="85" w:type="dxa"/>
              <w:right w:w="85" w:type="dxa"/>
            </w:tcMar>
          </w:tcPr>
          <w:p>
            <w:pPr>
              <w:spacing w:after="20" w:line="240" w:lineRule="auto"/>
            </w:pPr>
            <w:r>
              <w:rPr>
                <w:b w:val="0"/>
                <w:sz w:val="20"/>
              </w:rPr>
              <w:t>Optional mutual no-lawsuit rider</w:t>
            </w:r>
          </w:p>
        </w:tc>
        <w:tc>
          <w:tcPr>
            <w:tcW w:type="dxa" w:w="6192"/>
            <w:shd w:fill="FFFFFF"/>
            <w:tcMar>
              <w:top w:w="65" w:type="dxa"/>
              <w:bottom w:w="65" w:type="dxa"/>
              <w:left w:w="85" w:type="dxa"/>
              <w:right w:w="85" w:type="dxa"/>
            </w:tcMar>
          </w:tcPr>
          <w:p>
            <w:pPr>
              <w:spacing w:after="20" w:line="240" w:lineRule="auto"/>
            </w:pPr>
            <w:r>
              <w:rPr>
                <w:b w:val="0"/>
                <w:sz w:val="20"/>
              </w:rPr>
              <w:t>All actual parties to the identified agreement, only if deliberately elected.</w:t>
            </w:r>
          </w:p>
        </w:tc>
      </w:tr>
      <w:tr>
        <w:trPr>
          <w:cantSplit/>
        </w:trPr>
        <w:tc>
          <w:tcPr>
            <w:tcW w:type="dxa" w:w="3744"/>
            <w:shd w:fill="FFFFFF"/>
            <w:tcMar>
              <w:top w:w="65" w:type="dxa"/>
              <w:bottom w:w="65" w:type="dxa"/>
              <w:left w:w="85" w:type="dxa"/>
              <w:right w:w="85" w:type="dxa"/>
            </w:tcMar>
          </w:tcPr>
          <w:p>
            <w:r>
              <w:t>ATM purchase and optional management</w:t>
            </w:r>
          </w:p>
        </w:tc>
        <w:tc>
          <w:tcPr>
            <w:tcW w:type="dxa" w:w="6192"/>
            <w:shd w:fill="FFFFFF"/>
            <w:tcMar>
              <w:top w:w="65" w:type="dxa"/>
              <w:bottom w:w="65" w:type="dxa"/>
              <w:left w:w="85" w:type="dxa"/>
              <w:right w:w="85" w:type="dxa"/>
            </w:tcMar>
          </w:tcPr>
          <w:p>
            <w:r>
              <w:t>Buyer and NVATM; separate sale, training and support terms.</w:t>
            </w:r>
          </w:p>
        </w:tc>
      </w:tr>
    </w:tbl>
    <w:p>
      <w:pPr>
        <w:spacing w:after="0"/>
      </w:pPr>
    </w:p>
    <w:p>
      <w:pPr>
        <w:pStyle w:val="Heading2"/>
      </w:pPr>
      <w:r>
        <w:t>Before signing</w:t>
      </w:r>
    </w:p>
    <w:p>
      <w:r>
        <w:t>These are unsigned templates. Complete every applicable field, identify the actual equipment and responsibilities, review the complete terms and get Nevada legal review before execution. Mark unused choices as not applicable. A request, downloaded file, preferred date or internal approval box is not a contract, booked appointment, verified insurance policy or authorization to activate withdrawals.</w:t>
      </w:r>
    </w:p>
    <w:p>
      <w:r>
        <w:t>The private Optional Provider Agreement is available to NVATM for hiring a technician, equipment supplier or cash provider. It is separate from the merchant contract and is unnecessary for work NVATM performs itself. No outside company receives an automatic residual or ownership interest. Existing signed agreements require their own written amendment or valid exit; this revision changes templates only.</w:t>
      </w:r>
    </w:p>
    <w:p>
      <w:pPr>
        <w:pStyle w:val="Heading2"/>
      </w:pPr>
      <w:r>
        <w:t>The published placement formula</w:t>
      </w:r>
    </w:p>
    <w:p>
      <w:r>
        <w:t>Your business receives the customer surcharge less $1.75 per eligible withdrawal. NVATM retains $1.75 gross to pay equipment, cash, processing, service and other operating costs, with any remainder as profit. At a $3.99 surcharge, your business receives $2.24. At $3.50, you receive half. You select the fee in the written location agreement; use and income are not guaranteed.</w:t>
      </w:r>
    </w:p>
    <w:p>
      <w:pPr>
        <w:pStyle w:val="Heading1"/>
        <w:pageBreakBefore/>
      </w:pPr>
      <w:r>
        <w:t>Merchant placement agreement</w:t>
      </w:r>
    </w:p>
    <w:p>
      <w:r>
        <w:t>Agreement reference / effective date  ____________________________________________</w:t>
      </w:r>
    </w:p>
    <w:p>
      <w:r>
        <w:t>Merchant exact legal name / authorized business name  ____________________________________________</w:t>
      </w:r>
    </w:p>
    <w:p>
      <w:r>
        <w:t>Location street address and city  ____________________________________________</w:t>
      </w:r>
    </w:p>
    <w:p>
      <w:r>
        <w:t>Merchant notice contact / address  ____________________________________________</w:t>
      </w:r>
    </w:p>
    <w:p>
      <w:r>
        <w:t>NVATM notice contact / address  ____________________________________________</w:t>
      </w:r>
    </w:p>
    <w:p>
      <w:r>
        <w:t>This agreement is between the named Merchant and Matthew Winterhawk, an individual sole proprietor doing business as NVATM (NVATM). It is effective when both sign the same completed copy, or a later date both specify. The site and operating schedule is part of it. No third-party signature is required merely because NVATM hires an independent contractor.</w:t>
      </w:r>
    </w:p>
    <w:p>
      <w:pPr>
        <w:pStyle w:val="Heading2"/>
      </w:pPr>
      <w:r>
        <w:t>1. Placement and included service</w:t>
      </w:r>
    </w:p>
    <w:p>
      <w:r>
        <w:t>NVATM supplies the approved ATM and standard installation, lawful vault cash and replenishment, processing administration through its Switch Commerce account within its actual permissions, routine maintenance, connectivity and support under the completed schedule. NVATM owns the equipment and vault cash unless the schedule expressly identifies another lawful owner and the necessary authority. Merchant equipment purchase and upfront standard placement fees are $0. Merchant supplies approved space, electricity at its cost, and reasonable agreed access.</w:t>
      </w:r>
    </w:p>
    <w:p>
      <w:r>
        <w:t>NVATM may use qualified independent contractors for particular tasks and remains responsible to Merchant for the promises NVATM makes here. NVATM manages contractor compensation from its own resources. No contractor gains ownership of this merchant relationship, authority to change Merchant’s fees, or a right to require a processing switch. NVATM informs Merchant of personnel needing site access and any material change in cash or equipment ownership. Merchant consent is required for a material reduction of service, added cost, assignment of this contract or change to Merchant’s obligations.</w:t>
      </w:r>
    </w:p>
    <w:p>
      <w:pPr>
        <w:pStyle w:val="Heading2"/>
      </w:pPr>
      <w:r>
        <w:t>2. Customer surcharge and revenue</w:t>
      </w:r>
    </w:p>
    <w:p>
      <w:r>
        <w:t>Merchant-selected surcharge in dollars  ____________________________________________</w:t>
      </w:r>
    </w:p>
    <w:tbl>
      <w:tblPr>
        <w:tblW w:type="auto" w:w="0"/>
        <w:tblLayout w:type="fixed"/>
        <w:tblLook w:firstColumn="1" w:firstRow="1" w:lastColumn="0" w:lastRow="0" w:noHBand="0" w:noVBand="1" w:val="04A0"/>
      </w:tblPr>
      <w:tblGrid>
        <w:gridCol w:w="3312"/>
        <w:gridCol w:w="6624"/>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Recipient</w:t>
            </w:r>
          </w:p>
        </w:tc>
        <w:tc>
          <w:tcPr>
            <w:tcW w:type="dxa" w:w="4997"/>
            <w:shd w:fill="E9EDF1"/>
            <w:tcMar>
              <w:top w:w="65" w:type="dxa"/>
              <w:bottom w:w="65" w:type="dxa"/>
              <w:left w:w="85" w:type="dxa"/>
              <w:right w:w="85" w:type="dxa"/>
            </w:tcMar>
          </w:tcPr>
          <w:p>
            <w:pPr>
              <w:spacing w:after="20" w:line="240" w:lineRule="auto"/>
            </w:pPr>
            <w:r>
              <w:rPr>
                <w:b/>
                <w:sz w:val="20"/>
              </w:rPr>
              <w:t>Per eligible withdrawal</w:t>
            </w:r>
          </w:p>
        </w:tc>
      </w:tr>
      <w:tr>
        <w:trPr>
          <w:cantSplit/>
        </w:trPr>
        <w:tc>
          <w:tcPr>
            <w:tcW w:type="dxa" w:w="3312"/>
            <w:shd w:fill="FFFFFF"/>
            <w:tcMar>
              <w:top w:w="65" w:type="dxa"/>
              <w:bottom w:w="65" w:type="dxa"/>
              <w:left w:w="85" w:type="dxa"/>
              <w:right w:w="85" w:type="dxa"/>
            </w:tcMar>
          </w:tcPr>
          <w:p>
            <w:pPr>
              <w:spacing w:after="20" w:line="240" w:lineRule="auto"/>
            </w:pPr>
            <w:r>
              <w:rPr>
                <w:b w:val="0"/>
                <w:sz w:val="20"/>
              </w:rPr>
              <w:t>Merchant</w:t>
            </w:r>
          </w:p>
        </w:tc>
        <w:tc>
          <w:tcPr>
            <w:tcW w:type="dxa" w:w="6624"/>
            <w:shd w:fill="FFFFFF"/>
            <w:tcMar>
              <w:top w:w="65" w:type="dxa"/>
              <w:bottom w:w="65" w:type="dxa"/>
              <w:left w:w="85" w:type="dxa"/>
              <w:right w:w="85" w:type="dxa"/>
            </w:tcMar>
          </w:tcPr>
          <w:p>
            <w:pPr>
              <w:spacing w:after="20" w:line="240" w:lineRule="auto"/>
            </w:pPr>
            <w:r>
              <w:rPr>
                <w:b w:val="0"/>
                <w:sz w:val="20"/>
              </w:rPr>
              <w:t>Actual agreed surcharge minus $1.75</w:t>
            </w:r>
          </w:p>
        </w:tc>
      </w:tr>
      <w:tr>
        <w:trPr>
          <w:cantSplit/>
        </w:trPr>
        <w:tc>
          <w:tcPr>
            <w:tcW w:type="dxa" w:w="3312"/>
            <w:shd w:fill="FFFFFF"/>
            <w:tcMar>
              <w:top w:w="65" w:type="dxa"/>
              <w:bottom w:w="65" w:type="dxa"/>
              <w:left w:w="85" w:type="dxa"/>
              <w:right w:w="85" w:type="dxa"/>
            </w:tcMar>
          </w:tcPr>
          <w:p>
            <w:pPr>
              <w:spacing w:after="20" w:line="240" w:lineRule="auto"/>
            </w:pPr>
            <w:r>
              <w:rPr>
                <w:b w:val="0"/>
                <w:sz w:val="20"/>
              </w:rPr>
              <w:t>NVATM</w:t>
            </w:r>
          </w:p>
        </w:tc>
        <w:tc>
          <w:tcPr>
            <w:tcW w:type="dxa" w:w="6624"/>
            <w:shd w:fill="FFFFFF"/>
            <w:tcMar>
              <w:top w:w="65" w:type="dxa"/>
              <w:bottom w:w="65" w:type="dxa"/>
              <w:left w:w="85" w:type="dxa"/>
              <w:right w:w="85" w:type="dxa"/>
            </w:tcMar>
          </w:tcPr>
          <w:p>
            <w:pPr>
              <w:spacing w:after="20" w:line="240" w:lineRule="auto"/>
            </w:pPr>
            <w:r>
              <w:rPr>
                <w:b w:val="0"/>
                <w:sz w:val="20"/>
              </w:rPr>
              <w:t>$1.75 gross operating allocation, before costs and taxes</w:t>
            </w:r>
          </w:p>
        </w:tc>
      </w:tr>
    </w:tbl>
    <w:p>
      <w:pPr>
        <w:spacing w:after="0"/>
      </w:pPr>
    </w:p>
    <w:p>
      <w:r>
        <w:t>An eligible withdrawal is a completed customer cash withdrawal with the agreed surcharge appearing as settled in processor records. Declined, canceled, duplicate, surcharge-free or fully reversed/refunded events earn no allocation. A full reversal reverses the original allocations; a partial surcharge refund reduces the original allocations proportionately, with rounding reconciled on the statement. Principal cash dispensed is separate from surcharge revenue.</w:t>
      </w:r>
    </w:p>
    <w:p>
      <w:r>
        <w:t>At $3.50, Merchant receives $1.75 (50%). At $3.99, Merchant receives $2.24 (about 56.14%), or $672 at 300 eligible withdrawals. A lower surcharge yields less than 50%. This template requires at least $1.75; a lower fee requires a separately signed funding arrangement. Examples are arithmetic, not income promises. Fee changes require Merchant’s documented instruction and lawful processor implementation; no silent change is permitted.</w:t>
      </w:r>
    </w:p>
    <w:p>
      <w:pPr>
        <w:pStyle w:val="Heading1"/>
        <w:pageBreakBefore/>
      </w:pPr>
      <w:r>
        <w:t>Merchant duties, payments and records</w:t>
      </w:r>
    </w:p>
    <w:p>
      <w:pPr>
        <w:pStyle w:val="Heading2"/>
      </w:pPr>
      <w:r>
        <w:t>3. Site and operational responsibilities</w:t>
      </w:r>
    </w:p>
    <w:p>
      <w:r>
        <w:t>Merchant confirms authority and any landlord permission, provides the agreed electrical supply and environment, keeps access clear, reports faults or tampering promptly, and allows reasonable authorized service access. Merchant may not move the ATM, open the vault, load cash, modify software or fees, or disclose credentials unless the specific duty is assigned in writing. Existing ATM agreements must be reviewed before replacement; NVATM does not pay or override their termination charges.</w:t>
      </w:r>
    </w:p>
    <w:p>
      <w:r>
        <w:t>NVATM verifies supported hardware and software, fee display and customer consent flow, cash control, trained personnel, security, applicable insurance and required bank, processor, site and installation approvals before activation. The cardholder’s bank may charge separately. No signature, template or website image verifies an outdoor or drive-up configuration. Required accessibility, electrical, structural, environmental and permit review must address the actual site.</w:t>
      </w:r>
    </w:p>
    <w:p>
      <w:pPr>
        <w:pStyle w:val="Heading2"/>
      </w:pPr>
      <w:r>
        <w:t>4. Extras require approval</w:t>
      </w:r>
    </w:p>
    <w:p>
      <w:r>
        <w:t>Routine services included in this placement are paid from NVATM’s allocation and are not billed to Merchant again. Optional wraps, structural or specialty work, landlord improvements, permits and other exclusions must be itemized in a separate Merchant-approved quote before Merchant incurs them. No minimum volume penalty, ordinary processing surcharge or contractor cost may silently reduce Merchant’s promised remainder. Merchant remains responsible for direct loss it causes under Section 7.</w:t>
      </w:r>
    </w:p>
    <w:p>
      <w:pPr>
        <w:pStyle w:val="Heading2"/>
      </w:pPr>
      <w:r>
        <w:t>5. Statements and payments</w:t>
      </w:r>
    </w:p>
    <w:p>
      <w:r>
        <w:t>NVATM provides a monthly statement by the tenth business day and pays available, undisputed Merchant revenue by the fifteenth business day after month-end, unless both expressly accept another schedule below. Business days exclude weekends and federal banking holidays. Statements show the period, eligible count, receipts, reversals, Merchant and NVATM allocations, approved adjustments, payments and outstanding balance. Ordinary expenses of NVATM are not Merchant deductions.</w:t>
      </w:r>
    </w:p>
    <w:p>
      <w:r>
        <w:t>Different mutually accepted timing, or use default above  ____________________________________________</w:t>
      </w:r>
    </w:p>
    <w:p>
      <w:r>
        <w:t>Statement delivery contact / correction contact  ____________________________________________</w:t>
      </w:r>
    </w:p>
    <w:p>
      <w:r>
        <w:t>Confirm and test a processor-approved settlement method securely before activation. Actual bank or processor holds must be identified with their basis, attributable amount and release condition. Pay affected available amounts within five business days of release; NVATM remains responsible for delays it causes. No unrelated offset, undocumented reserve or automatic bank debit is authorized. Report discrepancies promptly, ordinarily within 60 days; this target does not waive concealed errors, fraud or nonwaivable rights. Review relevant supporting records and correct verified errors.</w:t>
      </w:r>
    </w:p>
    <w:p>
      <w:r>
        <w:t>Interchange / other compensation and recipient, or none  ____________________________________________</w:t>
      </w:r>
    </w:p>
    <w:p>
      <w:r>
        <w:t>Other processing compensation must be disclosed accurately when confirmed; it does not alter the Merchant formula without Merchant’s signed amendment. NVATM keeps reproducible signed copies and accounting records for seven years after final settlement or longer when required. Never place banking credentials, card data, safe codes or cash schedules into website forms or these public templates.</w:t>
      </w:r>
    </w:p>
    <w:p>
      <w:pPr>
        <w:pStyle w:val="Heading1"/>
        <w:pageBreakBefore/>
      </w:pPr>
      <w:r>
        <w:t>Merchant exit, resolution and signatures</w:t>
      </w:r>
    </w:p>
    <w:p>
      <w:pPr>
        <w:pStyle w:val="Heading2"/>
      </w:pPr>
      <w:r>
        <w:t>6. Simple exits and property return</w:t>
      </w:r>
    </w:p>
    <w:p>
      <w:r>
        <w:t>The placement runs month to month. Merchant or NVATM may end it for any reason on 30 calendar days’ written notice, including low customer use, insufficient revenue, unprofitability or a location that no longer meets either party’s needs. No transaction count, profit or minimum operating period is guaranteed. Neither party must continue an uneconomic placement after that notice period; an earlier exit requires mutual written agreement. Low volume alone is not a breach. Ordinary exit creates no termination penalty, forced buyout, minimum-volume fee, projected-profit charge or reimbursement of NVATM’s unrecovered standard equipment or installation costs. Earned amounts, authorized work and expressly approved noncancelable commitments actually incurred remain payable.</w:t>
      </w:r>
    </w:p>
    <w:p>
      <w:r>
        <w:t>For an ordinary material breach, give written particulars and ten calendar days to cure. Immediately suspend only affected operations for a reasonable safety, security, fraud, cash-integrity or unlawful-operation concern; explain and mitigate it. Do not operate without necessary funding, permissions or essential coverage. An unavoidable disruption excuses only prevented work, not accounting for received funds; a disruption lasting 30 days permits exit without penalty.</w:t>
      </w:r>
    </w:p>
    <w:p>
      <w:r>
        <w:t>NVATM coordinates ordinary removal at its expense and repairs physical damage caused by its installation or removal, excluding normal wear and preexisting conditions. Any exceptional restoration is expressly assigned in the site schedule. The parties coordinate safe, lawful access to remove NVATM-owned equipment and cash by the termination date or another agreed written date. Merchant must not obstruct lawful recovery or hold property for a payment dispute. No forced entry or breach of the peace is authorized. Return property to its documented owner and protect confidential records. Issue known final balances within 30 days after exit, identify pending processor items, report monthly and pay released amounts within five business days.</w:t>
      </w:r>
    </w:p>
    <w:p>
      <w:pPr>
        <w:pStyle w:val="Heading2"/>
      </w:pPr>
      <w:r>
        <w:t>7. Responsibility and fair resolution</w:t>
      </w:r>
    </w:p>
    <w:p>
      <w:r>
        <w:t>Each party is responsible for its own promises, personnel, taxes, licenses, approved charges and direct losses caused by its breach, negligence or willful misconduct. NVATM remains responsible for accepted subcontracted work. Allocate shared fault proportionately without double recovery; unattributed loss remains with the recorded asset owner pending investigation. No blanket assumption of another party’s cash loss or personal guarantee by an entity’s authorized representative is created.</w:t>
      </w:r>
    </w:p>
    <w:p>
      <w:r>
        <w:t>Give written notice describing the dispute and requested remedy. Authorized representatives first attempt direct discussion within 15 calendar days. Mediation is voluntary and requires agreement on the mediator and costs. There is no mandatory arbitration. Ordinary lawful remedies remain available unless every affected party separately signs the optional no-lawsuit rider after informed review. Nevada law governs to the extent applicable; any court proceeding requires lawful jurisdiction and venue.</w:t>
      </w:r>
    </w:p>
    <w:p>
      <w:pPr>
        <w:pStyle w:val="Heading2"/>
      </w:pPr>
      <w:r>
        <w:t>8. Complete agreement and execution</w:t>
      </w:r>
    </w:p>
    <w:p>
      <w:r>
        <w:t>This agreement, completed schedule and expressly incorporated signed amendments contain the placement terms. Website changes, internal status labels or a contractor’s departure do not amend them. Notices use the completed contacts and are effective on acknowledged electronic receipt or documented delivery. Consensual electronic signatures and counterparts are permitted with the complete exact version available to each party. Confidentiality, earned payments, property return and loss-accounting obligations survive exit.</w:t>
      </w:r>
    </w:p>
    <w:p>
      <w:pPr>
        <w:pStyle w:val="Heading2"/>
      </w:pPr>
      <w:r>
        <w:t>Merchant: exact legal entity named in this agreement</w:t>
      </w:r>
    </w:p>
    <w:p>
      <w:r>
        <w:t>Authorized signer / title  ____________________________________________</w:t>
      </w:r>
    </w:p>
    <w:p>
      <w:r>
        <w:t>Signature  ______________________________    Date  __________________</w:t>
      </w:r>
    </w:p>
    <w:p>
      <w:pPr>
        <w:pStyle w:val="Heading2"/>
      </w:pPr>
      <w:r>
        <w:t>NVATM: Matthew Winterhawk dba NVATM</w:t>
      </w:r>
    </w:p>
    <w:p>
      <w:r>
        <w:t>Authorized signer / title  ____________________________________________</w:t>
      </w:r>
    </w:p>
    <w:p>
      <w:r>
        <w:t>Signature  ______________________________    Date  __________________</w:t>
      </w:r>
    </w:p>
    <w:p>
      <w:pPr>
        <w:pStyle w:val="Heading1"/>
        <w:pageBreakBefore/>
      </w:pPr>
      <w:r>
        <w:t>Site and operating schedule</w:t>
      </w:r>
    </w:p>
    <w:p>
      <w:r>
        <w:t>Placement reference / site review date / planned installation  ____________________________________________</w:t>
      </w:r>
    </w:p>
    <w:p>
      <w:r>
        <w:t>NVATM is the default equipment supplier, cash owner and operator. Identify every exception expressly, with authority and any required Merchant consent. Leave approvals unconfirmed until evidence exists; outside contractors are optional, not additional merchant signing parties.</w:t>
      </w:r>
    </w:p>
    <w:tbl>
      <w:tblPr>
        <w:tblW w:type="auto" w:w="0"/>
        <w:tblLayout w:type="fixed"/>
        <w:tblLook w:firstColumn="1" w:firstRow="1" w:lastColumn="0" w:lastRow="0" w:noHBand="0" w:noVBand="1" w:val="04A0"/>
      </w:tblPr>
      <w:tblGrid>
        <w:gridCol w:w="4320"/>
        <w:gridCol w:w="5616"/>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Record</w:t>
            </w:r>
          </w:p>
        </w:tc>
        <w:tc>
          <w:tcPr>
            <w:tcW w:type="dxa" w:w="4997"/>
            <w:shd w:fill="E9EDF1"/>
            <w:tcMar>
              <w:top w:w="65" w:type="dxa"/>
              <w:bottom w:w="65" w:type="dxa"/>
              <w:left w:w="85" w:type="dxa"/>
              <w:right w:w="85" w:type="dxa"/>
            </w:tcMar>
          </w:tcPr>
          <w:p>
            <w:pPr>
              <w:spacing w:after="20" w:line="240" w:lineRule="auto"/>
            </w:pPr>
            <w:r>
              <w:rPr>
                <w:b/>
                <w:sz w:val="20"/>
              </w:rPr>
              <w:t>Verified selection or evidence reference</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Site, property authority and access hours</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Manufacturer, model, serial and equipment owner</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Software, reader, keypad and processor approval</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Indoor / outdoor / through-wall / drive-up scope</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Power, communication, anchoring and safe enclosure</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Heat, cold, water, dust, sun and ventilation review</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Accessibility, traffic, structure, permits and licensed trades</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Cash owner, source, reconciliation and principal routing</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Cash, equipment and liability insurance: limits / exclusions</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Support contact, hours, response target and backup</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Optional contractors and permitted access, or none</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Separate quotes, cost owner and maximum approved extras</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Removal and exceptional restoration responsibilities</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r>
        <w:trPr>
          <w:cantSplit/>
        </w:trPr>
        <w:tc>
          <w:tcPr>
            <w:tcW w:type="dxa" w:w="4320"/>
            <w:shd w:fill="FFFFFF"/>
            <w:tcMar>
              <w:top w:w="65" w:type="dxa"/>
              <w:bottom w:w="65" w:type="dxa"/>
              <w:left w:w="85" w:type="dxa"/>
              <w:right w:w="85" w:type="dxa"/>
            </w:tcMar>
          </w:tcPr>
          <w:p>
            <w:pPr>
              <w:spacing w:after="20" w:line="240" w:lineRule="auto"/>
            </w:pPr>
            <w:r>
              <w:rPr>
                <w:b w:val="0"/>
                <w:sz w:val="20"/>
              </w:rPr>
              <w:t>Surcharge display, test withdrawal and settlement test</w:t>
            </w:r>
          </w:p>
        </w:tc>
        <w:tc>
          <w:tcPr>
            <w:tcW w:type="dxa" w:w="5616"/>
            <w:shd w:fill="FFFFFF"/>
            <w:tcMar>
              <w:top w:w="65" w:type="dxa"/>
              <w:bottom w:w="65" w:type="dxa"/>
              <w:left w:w="85" w:type="dxa"/>
              <w:right w:w="85" w:type="dxa"/>
            </w:tcMar>
          </w:tcPr>
          <w:p>
            <w:pPr>
              <w:spacing w:after="20" w:line="240" w:lineRule="auto"/>
            </w:pPr>
            <w:r>
              <w:rPr>
                <w:b w:val="0"/>
                <w:sz w:val="20"/>
              </w:rPr>
              <w:t>___________________________________________</w:t>
            </w:r>
          </w:p>
        </w:tc>
      </w:tr>
    </w:tbl>
    <w:p>
      <w:pPr>
        <w:spacing w:after="0"/>
      </w:pPr>
    </w:p>
    <w:p>
      <w:r>
        <w:t>Equipment brands are options, subject to supported configurations and actual availability. A product photo is not an approval. Keep safe codes, bank instructions, cash amounts, load schedules and detailed security records separately restricted. Activation requires confirmed site, operating capacity, cash, signatures and installation verification, including required processor and bank approvals.</w:t>
      </w:r>
    </w:p>
    <w:p>
      <w:r>
        <w:t>Merchant accepts its recorded site responsibilities: signature __________________ Date __________</w:t>
      </w:r>
    </w:p>
    <w:p>
      <w:r>
        <w:t>NVATM duties and launch readiness approval: signature __________________ Date __________</w:t>
      </w:r>
    </w:p>
    <w:p>
      <w:pPr>
        <w:pStyle w:val="Heading1"/>
        <w:pageBreakBefore/>
      </w:pPr>
      <w:r>
        <w:t>Standalone ATM service agreement</w:t>
      </w:r>
    </w:p>
    <w:p>
      <w:r>
        <w:t>Job reference / customer exact legal name  ____________________________________________</w:t>
      </w:r>
    </w:p>
    <w:p>
      <w:r>
        <w:t>Site address / customer notice contact  ____________________________________________</w:t>
      </w:r>
    </w:p>
    <w:p>
      <w:r>
        <w:t>NVATM notice contact  ____________________________________________</w:t>
      </w:r>
    </w:p>
    <w:p>
      <w:r>
        <w:t>Customer engages Matthew Winterhawk, an individual sole proprietor doing business as NVATM for the completed job order. NVATM provides or arranges the authorized work, invoices Customer and remains responsible for its accepted scope. Qualified contractors may assist without acquiring the customer relationship or changing processing. No automatic allocation of this invoice to an outside provider applies. A separately named direct-contract provider requires its own agreement instead.</w:t>
      </w:r>
    </w:p>
    <w:p>
      <w:pPr>
        <w:pStyle w:val="Heading2"/>
      </w:pPr>
      <w:r>
        <w:t>Rates: NVATM SERVICE 2026 10 07 R2</w:t>
      </w:r>
    </w:p>
    <w:tbl>
      <w:tblPr>
        <w:tblW w:type="auto" w:w="0"/>
        <w:tblLayout w:type="fixed"/>
        <w:tblLook w:firstColumn="1" w:firstRow="1" w:lastColumn="0" w:lastRow="0" w:noHBand="0" w:noVBand="1" w:val="04A0"/>
      </w:tblPr>
      <w:tblGrid>
        <w:gridCol w:w="2880"/>
        <w:gridCol w:w="7056"/>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Charge</w:t>
            </w:r>
          </w:p>
        </w:tc>
        <w:tc>
          <w:tcPr>
            <w:tcW w:type="dxa" w:w="4997"/>
            <w:shd w:fill="E9EDF1"/>
            <w:tcMar>
              <w:top w:w="65" w:type="dxa"/>
              <w:bottom w:w="65" w:type="dxa"/>
              <w:left w:w="85" w:type="dxa"/>
              <w:right w:w="85" w:type="dxa"/>
            </w:tcMar>
          </w:tcPr>
          <w:p>
            <w:pPr>
              <w:spacing w:after="20" w:line="240" w:lineRule="auto"/>
            </w:pPr>
            <w:r>
              <w:rPr>
                <w:b/>
                <w:sz w:val="20"/>
              </w:rPr>
              <w:t>Rate and rule</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Standard on-site labor</w:t>
            </w:r>
          </w:p>
        </w:tc>
        <w:tc>
          <w:tcPr>
            <w:tcW w:type="dxa" w:w="7056"/>
            <w:shd w:fill="FFFFFF"/>
            <w:tcMar>
              <w:top w:w="65" w:type="dxa"/>
              <w:bottom w:w="65" w:type="dxa"/>
              <w:left w:w="85" w:type="dxa"/>
              <w:right w:w="85" w:type="dxa"/>
            </w:tcMar>
          </w:tcPr>
          <w:p>
            <w:pPr>
              <w:spacing w:after="20" w:line="240" w:lineRule="auto"/>
            </w:pPr>
            <w:r>
              <w:rPr>
                <w:b w:val="0"/>
                <w:sz w:val="20"/>
              </w:rPr>
              <w:t>$175/hour; first hour minimum, then $43.75 per started 15 minutes.</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Local dispatch</w:t>
            </w:r>
          </w:p>
        </w:tc>
        <w:tc>
          <w:tcPr>
            <w:tcW w:type="dxa" w:w="7056"/>
            <w:shd w:fill="FFFFFF"/>
            <w:tcMar>
              <w:top w:w="65" w:type="dxa"/>
              <w:bottom w:w="65" w:type="dxa"/>
              <w:left w:w="85" w:type="dxa"/>
              <w:right w:w="85" w:type="dxa"/>
            </w:tcMar>
          </w:tcPr>
          <w:p>
            <w:pPr>
              <w:spacing w:after="20" w:line="240" w:lineRule="auto"/>
            </w:pPr>
            <w:r>
              <w:rPr>
                <w:b w:val="0"/>
                <w:sz w:val="20"/>
              </w:rPr>
              <w:t>$75 includes 50 total road miles and 60 total round-trip travel minutes.</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Extra travel time</w:t>
            </w:r>
          </w:p>
        </w:tc>
        <w:tc>
          <w:tcPr>
            <w:tcW w:type="dxa" w:w="7056"/>
            <w:shd w:fill="FFFFFF"/>
            <w:tcMar>
              <w:top w:w="65" w:type="dxa"/>
              <w:bottom w:w="65" w:type="dxa"/>
              <w:left w:w="85" w:type="dxa"/>
              <w:right w:w="85" w:type="dxa"/>
            </w:tcMar>
          </w:tcPr>
          <w:p>
            <w:pPr>
              <w:spacing w:after="20" w:line="240" w:lineRule="auto"/>
            </w:pPr>
            <w:r>
              <w:rPr>
                <w:b w:val="0"/>
                <w:sz w:val="20"/>
              </w:rPr>
              <w:t>$100/hour beyond included time; $25 per started 15 minutes.</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Extra vehicle mileage</w:t>
            </w:r>
          </w:p>
        </w:tc>
        <w:tc>
          <w:tcPr>
            <w:tcW w:type="dxa" w:w="7056"/>
            <w:shd w:fill="FFFFFF"/>
            <w:tcMar>
              <w:top w:w="65" w:type="dxa"/>
              <w:bottom w:w="65" w:type="dxa"/>
              <w:left w:w="85" w:type="dxa"/>
              <w:right w:w="85" w:type="dxa"/>
            </w:tcMar>
          </w:tcPr>
          <w:p>
            <w:pPr>
              <w:spacing w:after="20" w:line="240" w:lineRule="auto"/>
            </w:pPr>
            <w:r>
              <w:rPr>
                <w:b w:val="0"/>
                <w:sz w:val="20"/>
              </w:rPr>
              <w:t>$0.95 per extra total road mile above 50; whole extra miles rounded up.</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After-hours labor, if approved</w:t>
            </w:r>
          </w:p>
        </w:tc>
        <w:tc>
          <w:tcPr>
            <w:tcW w:type="dxa" w:w="7056"/>
            <w:shd w:fill="FFFFFF"/>
            <w:tcMar>
              <w:top w:w="65" w:type="dxa"/>
              <w:bottom w:w="65" w:type="dxa"/>
              <w:left w:w="85" w:type="dxa"/>
              <w:right w:w="85" w:type="dxa"/>
            </w:tcMar>
          </w:tcPr>
          <w:p>
            <w:pPr>
              <w:spacing w:after="20" w:line="240" w:lineRule="auto"/>
            </w:pPr>
            <w:r>
              <w:rPr>
                <w:b w:val="0"/>
                <w:sz w:val="20"/>
              </w:rPr>
              <w:t>$250/hour; first hour minimum, then $62.50 per started 15 minutes.</w:t>
            </w:r>
          </w:p>
        </w:tc>
      </w:tr>
      <w:tr>
        <w:trPr>
          <w:cantSplit/>
        </w:trPr>
        <w:tc>
          <w:tcPr>
            <w:tcW w:type="dxa" w:w="2880"/>
            <w:shd w:fill="FFFFFF"/>
            <w:tcMar>
              <w:top w:w="65" w:type="dxa"/>
              <w:bottom w:w="65" w:type="dxa"/>
              <w:left w:w="85" w:type="dxa"/>
              <w:right w:w="85" w:type="dxa"/>
            </w:tcMar>
          </w:tcPr>
          <w:p>
            <w:pPr>
              <w:spacing w:after="20" w:line="240" w:lineRule="auto"/>
            </w:pPr>
            <w:r>
              <w:rPr>
                <w:b w:val="0"/>
                <w:sz w:val="20"/>
              </w:rPr>
              <w:t>Parts and other extras</w:t>
            </w:r>
          </w:p>
        </w:tc>
        <w:tc>
          <w:tcPr>
            <w:tcW w:type="dxa" w:w="7056"/>
            <w:shd w:fill="FFFFFF"/>
            <w:tcMar>
              <w:top w:w="65" w:type="dxa"/>
              <w:bottom w:w="65" w:type="dxa"/>
              <w:left w:w="85" w:type="dxa"/>
              <w:right w:w="85" w:type="dxa"/>
            </w:tcMar>
          </w:tcPr>
          <w:p>
            <w:pPr>
              <w:spacing w:after="20" w:line="240" w:lineRule="auto"/>
            </w:pPr>
            <w:r>
              <w:rPr>
                <w:b w:val="0"/>
                <w:sz w:val="20"/>
              </w:rPr>
              <w:t>Itemized quote and approval; no assumed parts, freight, permit or tax allowance.</w:t>
            </w:r>
          </w:p>
        </w:tc>
      </w:tr>
    </w:tbl>
    <w:p>
      <w:pPr>
        <w:spacing w:after="0"/>
      </w:pPr>
    </w:p>
    <w:p>
      <w:r>
        <w:t>A standard local first-hour visit is $250 before approved parts, extras and applicable tax. These are proposed customer charges, not claims about actual wages, prevailing prices or contractor acceptance. A confirmed written quote governs. Planning covers routes within 100 miles of Las Vegas; actual road distance and time apply. Statewide or longer routes need confirmed coverage and a custom quote. After-hours work is subject to availability, with no implied 24/7 response.</w:t>
      </w:r>
    </w:p>
    <w:p>
      <w:r>
        <w:t>Travel time and mileage pay different costs. Mileage includes fuel and vehicle wear; no separate fuel surcharge is added. Record actual route and time, allocate shared dispatch fairly across jobs and never bill the same travel twice. Included routine service for an NVATM placement is not billed again under this standalone schedule.</w:t>
      </w:r>
    </w:p>
    <w:p>
      <w:pPr>
        <w:pStyle w:val="Heading2"/>
      </w:pPr>
      <w:r>
        <w:t>Authorization, care and payment</w:t>
      </w:r>
    </w:p>
    <w:p>
      <w:r>
        <w:t>Approve the job scope, payer, quote and spending cap before dispatch. Extra work or an overrun needs a written change order. A diagnosis fee does not guarantee repair. NVATM corrects its deficient workmanship without additional labor after prompt notice and a reasonable inspection opportunity; unrelated failures, misuse, wear and manufacturer warranties remain separate. Pay an accurate, itemized invoice within 15 calendar days unless another written deadline is accepted; pay undisputed amounts while reviewing disputes.</w:t>
      </w:r>
    </w:p>
    <w:p>
      <w:r>
        <w:t>Cancel before dispatch without an added fee. After dispatch or an expressly approved noncancelable purchase, pay only authorized work and disclosed costs actually incurred, with supporting records. No forced processing switch, placement change, cash handling or settlement access is authorized by a repair request.</w:t>
      </w:r>
    </w:p>
    <w:p>
      <w:pPr>
        <w:pStyle w:val="Heading1"/>
        <w:pageBreakBefore/>
      </w:pPr>
      <w:r>
        <w:t>Service job order and signatures</w:t>
      </w:r>
    </w:p>
    <w:p>
      <w:r>
        <w:t>Service agreement / quote reference  ____________________________________________</w:t>
      </w:r>
    </w:p>
    <w:p>
      <w:r>
        <w:t>Machine make, model and issue  ____________________________________________</w:t>
      </w:r>
    </w:p>
    <w:p>
      <w:r>
        <w:t>Approved work and exclusions; permitted access  ____________________________________________</w:t>
      </w:r>
    </w:p>
    <w:p>
      <w:r>
        <w:t>Dispatch base / road miles / travel estimate  ____________________________________________</w:t>
      </w:r>
    </w:p>
    <w:p>
      <w:r>
        <w:t>Proposed date and time / after-hours election  ____________________________________________</w:t>
      </w:r>
    </w:p>
    <w:tbl>
      <w:tblPr>
        <w:tblW w:type="auto" w:w="0"/>
        <w:tblLayout w:type="fixed"/>
        <w:tblLook w:firstColumn="1" w:firstRow="1" w:lastColumn="0" w:lastRow="0" w:noHBand="0" w:noVBand="1" w:val="04A0"/>
      </w:tblPr>
      <w:tblGrid>
        <w:gridCol w:w="4752"/>
        <w:gridCol w:w="5184"/>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Price approval</w:t>
            </w:r>
          </w:p>
        </w:tc>
        <w:tc>
          <w:tcPr>
            <w:tcW w:type="dxa" w:w="4997"/>
            <w:shd w:fill="E9EDF1"/>
            <w:tcMar>
              <w:top w:w="65" w:type="dxa"/>
              <w:bottom w:w="65" w:type="dxa"/>
              <w:left w:w="85" w:type="dxa"/>
              <w:right w:w="85" w:type="dxa"/>
            </w:tcMar>
          </w:tcPr>
          <w:p>
            <w:pPr>
              <w:spacing w:after="20" w:line="240" w:lineRule="auto"/>
            </w:pPr>
            <w:r>
              <w:rPr>
                <w:b/>
                <w:sz w:val="20"/>
              </w:rPr>
              <w:t>Amount or explicit none</w:t>
            </w:r>
          </w:p>
        </w:tc>
      </w:tr>
      <w:tr>
        <w:trPr>
          <w:cantSplit/>
        </w:trPr>
        <w:tc>
          <w:tcPr>
            <w:tcW w:type="dxa" w:w="4752"/>
            <w:shd w:fill="FFFFFF"/>
            <w:tcMar>
              <w:top w:w="65" w:type="dxa"/>
              <w:bottom w:w="65" w:type="dxa"/>
              <w:left w:w="85" w:type="dxa"/>
              <w:right w:w="85" w:type="dxa"/>
            </w:tcMar>
          </w:tcPr>
          <w:p>
            <w:pPr>
              <w:spacing w:after="20" w:line="240" w:lineRule="auto"/>
            </w:pPr>
            <w:r>
              <w:rPr>
                <w:b w:val="0"/>
                <w:sz w:val="20"/>
              </w:rPr>
              <w:t>Labor and minimum / approved hours</w:t>
            </w:r>
          </w:p>
        </w:tc>
        <w:tc>
          <w:tcPr>
            <w:tcW w:type="dxa" w:w="5184"/>
            <w:shd w:fill="FFFFFF"/>
            <w:tcMar>
              <w:top w:w="65" w:type="dxa"/>
              <w:bottom w:w="65" w:type="dxa"/>
              <w:left w:w="85" w:type="dxa"/>
              <w:right w:w="85" w:type="dxa"/>
            </w:tcMar>
          </w:tcPr>
          <w:p>
            <w:pPr>
              <w:spacing w:after="20" w:line="240" w:lineRule="auto"/>
            </w:pPr>
            <w:r>
              <w:rPr>
                <w:b w:val="0"/>
                <w:sz w:val="20"/>
              </w:rPr>
              <w:t>_______________________________________</w:t>
            </w:r>
          </w:p>
        </w:tc>
      </w:tr>
      <w:tr>
        <w:trPr>
          <w:cantSplit/>
        </w:trPr>
        <w:tc>
          <w:tcPr>
            <w:tcW w:type="dxa" w:w="4752"/>
            <w:shd w:fill="FFFFFF"/>
            <w:tcMar>
              <w:top w:w="65" w:type="dxa"/>
              <w:bottom w:w="65" w:type="dxa"/>
              <w:left w:w="85" w:type="dxa"/>
              <w:right w:w="85" w:type="dxa"/>
            </w:tcMar>
          </w:tcPr>
          <w:p>
            <w:pPr>
              <w:spacing w:after="20" w:line="240" w:lineRule="auto"/>
            </w:pPr>
            <w:r>
              <w:rPr>
                <w:b w:val="0"/>
                <w:sz w:val="20"/>
              </w:rPr>
              <w:t>Dispatch / extra travel / extra miles</w:t>
            </w:r>
          </w:p>
        </w:tc>
        <w:tc>
          <w:tcPr>
            <w:tcW w:type="dxa" w:w="5184"/>
            <w:shd w:fill="FFFFFF"/>
            <w:tcMar>
              <w:top w:w="65" w:type="dxa"/>
              <w:bottom w:w="65" w:type="dxa"/>
              <w:left w:w="85" w:type="dxa"/>
              <w:right w:w="85" w:type="dxa"/>
            </w:tcMar>
          </w:tcPr>
          <w:p>
            <w:pPr>
              <w:spacing w:after="20" w:line="240" w:lineRule="auto"/>
            </w:pPr>
            <w:r>
              <w:rPr>
                <w:b w:val="0"/>
                <w:sz w:val="20"/>
              </w:rPr>
              <w:t>_______________________________________</w:t>
            </w:r>
          </w:p>
        </w:tc>
      </w:tr>
      <w:tr>
        <w:trPr>
          <w:cantSplit/>
        </w:trPr>
        <w:tc>
          <w:tcPr>
            <w:tcW w:type="dxa" w:w="4752"/>
            <w:shd w:fill="FFFFFF"/>
            <w:tcMar>
              <w:top w:w="65" w:type="dxa"/>
              <w:bottom w:w="65" w:type="dxa"/>
              <w:left w:w="85" w:type="dxa"/>
              <w:right w:w="85" w:type="dxa"/>
            </w:tcMar>
          </w:tcPr>
          <w:p>
            <w:pPr>
              <w:spacing w:after="20" w:line="240" w:lineRule="auto"/>
            </w:pPr>
            <w:r>
              <w:rPr>
                <w:b w:val="0"/>
                <w:sz w:val="20"/>
              </w:rPr>
              <w:t>Parts / freight / tax / permits / itemized markup</w:t>
            </w:r>
          </w:p>
        </w:tc>
        <w:tc>
          <w:tcPr>
            <w:tcW w:type="dxa" w:w="5184"/>
            <w:shd w:fill="FFFFFF"/>
            <w:tcMar>
              <w:top w:w="65" w:type="dxa"/>
              <w:bottom w:w="65" w:type="dxa"/>
              <w:left w:w="85" w:type="dxa"/>
              <w:right w:w="85" w:type="dxa"/>
            </w:tcMar>
          </w:tcPr>
          <w:p>
            <w:pPr>
              <w:spacing w:after="20" w:line="240" w:lineRule="auto"/>
            </w:pPr>
            <w:r>
              <w:rPr>
                <w:b w:val="0"/>
                <w:sz w:val="20"/>
              </w:rPr>
              <w:t>_______________________________________</w:t>
            </w:r>
          </w:p>
        </w:tc>
      </w:tr>
      <w:tr>
        <w:trPr>
          <w:cantSplit/>
        </w:trPr>
        <w:tc>
          <w:tcPr>
            <w:tcW w:type="dxa" w:w="4752"/>
            <w:shd w:fill="FFFFFF"/>
            <w:tcMar>
              <w:top w:w="65" w:type="dxa"/>
              <w:bottom w:w="65" w:type="dxa"/>
              <w:left w:w="85" w:type="dxa"/>
              <w:right w:w="85" w:type="dxa"/>
            </w:tcMar>
          </w:tcPr>
          <w:p>
            <w:pPr>
              <w:spacing w:after="20" w:line="240" w:lineRule="auto"/>
            </w:pPr>
            <w:r>
              <w:rPr>
                <w:b w:val="0"/>
                <w:sz w:val="20"/>
              </w:rPr>
              <w:t>Total not-to-exceed cap and payer</w:t>
            </w:r>
          </w:p>
        </w:tc>
        <w:tc>
          <w:tcPr>
            <w:tcW w:type="dxa" w:w="5184"/>
            <w:shd w:fill="FFFFFF"/>
            <w:tcMar>
              <w:top w:w="65" w:type="dxa"/>
              <w:bottom w:w="65" w:type="dxa"/>
              <w:left w:w="85" w:type="dxa"/>
              <w:right w:w="85" w:type="dxa"/>
            </w:tcMar>
          </w:tcPr>
          <w:p>
            <w:pPr>
              <w:spacing w:after="20" w:line="240" w:lineRule="auto"/>
            </w:pPr>
            <w:r>
              <w:rPr>
                <w:b w:val="0"/>
                <w:sz w:val="20"/>
              </w:rPr>
              <w:t>_______________________________________</w:t>
            </w:r>
          </w:p>
        </w:tc>
      </w:tr>
      <w:tr>
        <w:trPr>
          <w:cantSplit/>
        </w:trPr>
        <w:tc>
          <w:tcPr>
            <w:tcW w:type="dxa" w:w="4752"/>
            <w:shd w:fill="FFFFFF"/>
            <w:tcMar>
              <w:top w:w="65" w:type="dxa"/>
              <w:bottom w:w="65" w:type="dxa"/>
              <w:left w:w="85" w:type="dxa"/>
              <w:right w:w="85" w:type="dxa"/>
            </w:tcMar>
          </w:tcPr>
          <w:p>
            <w:pPr>
              <w:spacing w:after="20" w:line="240" w:lineRule="auto"/>
            </w:pPr>
            <w:r>
              <w:rPr>
                <w:b w:val="0"/>
                <w:sz w:val="20"/>
              </w:rPr>
              <w:t>Deposit and different payment timing, if any</w:t>
            </w:r>
          </w:p>
        </w:tc>
        <w:tc>
          <w:tcPr>
            <w:tcW w:type="dxa" w:w="5184"/>
            <w:shd w:fill="FFFFFF"/>
            <w:tcMar>
              <w:top w:w="65" w:type="dxa"/>
              <w:bottom w:w="65" w:type="dxa"/>
              <w:left w:w="85" w:type="dxa"/>
              <w:right w:w="85" w:type="dxa"/>
            </w:tcMar>
          </w:tcPr>
          <w:p>
            <w:pPr>
              <w:spacing w:after="20" w:line="240" w:lineRule="auto"/>
            </w:pPr>
            <w:r>
              <w:rPr>
                <w:b w:val="0"/>
                <w:sz w:val="20"/>
              </w:rPr>
              <w:t>_______________________________________</w:t>
            </w:r>
          </w:p>
        </w:tc>
      </w:tr>
    </w:tbl>
    <w:p>
      <w:pPr>
        <w:spacing w:after="0"/>
      </w:pPr>
    </w:p>
    <w:p>
      <w:r>
        <w:t>A preferred date is not an appointment until NVATM confirms it. Customer confirms authority and safe access, identifies known hazards and obtains necessary property permission. Cash handling, vault access and bank changes are excluded unless separately documented and approved. Regulated specialty work requires properly authorized trades. Either party may stop unsafe work promptly and explain why.</w:t>
      </w:r>
    </w:p>
    <w:p>
      <w:r>
        <w:t>Each party answers for its own promises and conduct; NVATM remains responsible for its accepted subcontracted work. Completion acknowledgment records work, tests and open issues and does not waive defects. This agreement and the accepted job order govern this job; website updates do not amend it. Notices use the designated contacts, effective on acknowledged electronic receipt or documented delivery. Agreed electronic signatures and counterparts are allowed; provide both parties a reproducible signed copy.</w:t>
      </w:r>
    </w:p>
    <w:p>
      <w:r>
        <w:t>Give written notice describing the dispute and requested remedy. Authorized representatives first attempt direct discussion within 15 calendar days. Mediation is voluntary and requires agreement on the mediator and costs. There is no mandatory arbitration. Ordinary lawful remedies remain available unless every affected party separately signs the optional no-lawsuit rider after informed review. Nevada law governs to the extent applicable; any court proceeding requires lawful jurisdiction and venue.</w:t>
      </w:r>
    </w:p>
    <w:p>
      <w:pPr>
        <w:pStyle w:val="Heading2"/>
      </w:pPr>
      <w:r>
        <w:t>Customer authorization</w:t>
      </w:r>
    </w:p>
    <w:p>
      <w:r>
        <w:t>Authorized signer / title  ____________________________________________</w:t>
      </w:r>
    </w:p>
    <w:p>
      <w:r>
        <w:t>Signature  ______________________________    Date  __________________</w:t>
      </w:r>
    </w:p>
    <w:p>
      <w:pPr>
        <w:pStyle w:val="Heading2"/>
      </w:pPr>
      <w:r>
        <w:t>NVATM acceptance: Matthew Winterhawk dba NVATM</w:t>
      </w:r>
    </w:p>
    <w:p>
      <w:r>
        <w:t>Authorized signer / title  ____________________________________________</w:t>
      </w:r>
    </w:p>
    <w:p>
      <w:r>
        <w:t>Signature  ______________________________    Date  __________________</w:t>
      </w:r>
    </w:p>
    <w:p>
      <w:r>
        <w:t>Actual work, tests and unresolved issues / report reference  ____________________________________________</w:t>
      </w:r>
    </w:p>
    <w:p>
      <w:r>
        <w:t>Customer completion acknowledgment and date  ____________________________________________</w:t>
      </w:r>
    </w:p>
    <w:p>
      <w:pPr>
        <w:pStyle w:val="Heading1"/>
        <w:pageBreakBefore/>
      </w:pPr>
      <w:r>
        <w:t>Custom wrap quote and authorization</w:t>
      </w:r>
    </w:p>
    <w:p>
      <w:r>
        <w:t>Quote reference / customer legal name / site  ____________________________________________</w:t>
      </w:r>
    </w:p>
    <w:p>
      <w:r>
        <w:t>Quote provider legal entity and notice contact  ____________________________________________</w:t>
      </w:r>
    </w:p>
    <w:p>
      <w:r>
        <w:t>NVATM is the default quote provider when named here: Matthew Winterhawk, an individual sole proprietor doing business as NVATM. Optional custom branding is paid work separate from standard placement. The quote provider remains responsible for its subcontractors. Name a separate installer as a direct contracting party only if the quote expressly makes that party responsible to Customer and that party signs. Otherwise the provider manages its installer.</w:t>
      </w:r>
    </w:p>
    <w:p>
      <w:r>
        <w:t>Machine model, measurements and condition  ____________________________________________</w:t>
      </w:r>
    </w:p>
    <w:p>
      <w:r>
        <w:t>Artwork rights, proof version and included revisions  ____________________________________________</w:t>
      </w:r>
    </w:p>
    <w:p>
      <w:r>
        <w:t>Material, laminate and indoor / outdoor suitability  ____________________________________________</w:t>
      </w:r>
    </w:p>
    <w:p>
      <w:r>
        <w:t>Preparation, existing-wrap removal and installation scope  ____________________________________________</w:t>
      </w:r>
    </w:p>
    <w:p>
      <w:r>
        <w:t>Production / installation window and acceptance process  ____________________________________________</w:t>
      </w:r>
    </w:p>
    <w:tbl>
      <w:tblPr>
        <w:tblW w:type="auto" w:w="0"/>
        <w:tblLayout w:type="fixed"/>
        <w:tblLook w:firstColumn="1" w:firstRow="1" w:lastColumn="0" w:lastRow="0" w:noHBand="0" w:noVBand="1" w:val="04A0"/>
      </w:tblPr>
      <w:tblGrid>
        <w:gridCol w:w="5184"/>
        <w:gridCol w:w="4752"/>
      </w:tblGrid>
      <w:tr>
        <w:trPr>
          <w:cantSplit/>
          <w:tblHeader/>
        </w:trPr>
        <w:tc>
          <w:tcPr>
            <w:tcW w:type="dxa" w:w="4997"/>
            <w:shd w:fill="E9EDF1"/>
            <w:tcMar>
              <w:top w:w="65" w:type="dxa"/>
              <w:bottom w:w="65" w:type="dxa"/>
              <w:left w:w="85" w:type="dxa"/>
              <w:right w:w="85" w:type="dxa"/>
            </w:tcMar>
          </w:tcPr>
          <w:p>
            <w:pPr>
              <w:spacing w:after="20" w:line="240" w:lineRule="auto"/>
            </w:pPr>
            <w:r>
              <w:rPr>
                <w:b/>
                <w:sz w:val="20"/>
              </w:rPr>
              <w:t>Item</w:t>
            </w:r>
          </w:p>
        </w:tc>
        <w:tc>
          <w:tcPr>
            <w:tcW w:type="dxa" w:w="4997"/>
            <w:shd w:fill="E9EDF1"/>
            <w:tcMar>
              <w:top w:w="65" w:type="dxa"/>
              <w:bottom w:w="65" w:type="dxa"/>
              <w:left w:w="85" w:type="dxa"/>
              <w:right w:w="85" w:type="dxa"/>
            </w:tcMar>
          </w:tcPr>
          <w:p>
            <w:pPr>
              <w:spacing w:after="20" w:line="240" w:lineRule="auto"/>
            </w:pPr>
            <w:r>
              <w:rPr>
                <w:b/>
                <w:sz w:val="20"/>
              </w:rPr>
              <w:t>Agreed amount or none</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Design and revisions</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Printing, materials and production</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Preparation, removal and repairs</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Installation, travel, freight and taxes</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Total cap / deposit / payment deadlines</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r>
        <w:trPr>
          <w:cantSplit/>
        </w:trPr>
        <w:tc>
          <w:tcPr>
            <w:tcW w:type="dxa" w:w="5184"/>
            <w:shd w:fill="FFFFFF"/>
            <w:tcMar>
              <w:top w:w="65" w:type="dxa"/>
              <w:bottom w:w="65" w:type="dxa"/>
              <w:left w:w="85" w:type="dxa"/>
              <w:right w:w="85" w:type="dxa"/>
            </w:tcMar>
          </w:tcPr>
          <w:p>
            <w:pPr>
              <w:spacing w:after="20" w:line="240" w:lineRule="auto"/>
            </w:pPr>
            <w:r>
              <w:rPr>
                <w:b w:val="0"/>
                <w:sz w:val="20"/>
              </w:rPr>
              <w:t>Warranty duration, exclusions and contact</w:t>
            </w:r>
          </w:p>
        </w:tc>
        <w:tc>
          <w:tcPr>
            <w:tcW w:type="dxa" w:w="4752"/>
            <w:shd w:fill="FFFFFF"/>
            <w:tcMar>
              <w:top w:w="65" w:type="dxa"/>
              <w:bottom w:w="65" w:type="dxa"/>
              <w:left w:w="85" w:type="dxa"/>
              <w:right w:w="85" w:type="dxa"/>
            </w:tcMar>
          </w:tcPr>
          <w:p>
            <w:pPr>
              <w:spacing w:after="20" w:line="240" w:lineRule="auto"/>
            </w:pPr>
            <w:r>
              <w:rPr>
                <w:b w:val="0"/>
                <w:sz w:val="20"/>
              </w:rPr>
              <w:t>__________________________________</w:t>
            </w:r>
          </w:p>
        </w:tc>
      </w:tr>
    </w:tbl>
    <w:p>
      <w:pPr>
        <w:spacing w:after="0"/>
      </w:pPr>
    </w:p>
    <w:p>
      <w:r>
        <w:t>Customer confirms rights to supplied artwork. Production starts only after the completed quote and actual proof are approved. Changes require a written change order. Keep required fee notices, controls, audio access, reader, screen, ventilation, locks and service access usable. Illustrative AI designs do not determine machine fit or production quality. A wrap does not change processing, ownership or the surcharge allocation.</w:t>
      </w:r>
    </w:p>
    <w:p>
      <w:r>
        <w:t>Either party may cancel unstarted, uncommitted work without an added penalty. Reconcile only disclosed, approved costs actually incurred, including expressly approved nonreturnable production. Return refundable deposits and customer files. There is no blanket nonrefundable deposit. The provider documents completion and corrects defects within its accepted warranty; acknowledgment does not waive unresolved defects.</w:t>
      </w:r>
    </w:p>
    <w:p>
      <w:r>
        <w:t>Cancellation cost election / final approved proof reference  ____________________________________________</w:t>
      </w:r>
    </w:p>
    <w:p>
      <w:r>
        <w:t>Separate direct installer legal entity, or none  ____________________________________________</w:t>
      </w:r>
    </w:p>
    <w:p>
      <w:pPr>
        <w:pStyle w:val="Heading1"/>
        <w:pageBreakBefore/>
      </w:pPr>
      <w:r>
        <w:t>Wrap signatures and agreement records</w:t>
      </w:r>
    </w:p>
    <w:p>
      <w:r>
        <w:t>The wrap quote, approved proof and accepted scope are the complete wrap agreement. Website updates do not amend it. Each party is responsible for its promises and personnel; subcontracting does not excuse the quote provider’s obligations. Give written notice through the designated contacts, effective on acknowledged electronic receipt or documented delivery. Agreed electronic signatures and counterparts are permitted.</w:t>
      </w:r>
    </w:p>
    <w:p>
      <w:r>
        <w:t>Give written notice describing the dispute and requested remedy. Authorized representatives first attempt direct discussion within 15 calendar days. Mediation is voluntary and requires agreement on the mediator and costs. There is no mandatory arbitration. Ordinary lawful remedies remain available unless every affected party separately signs the optional no-lawsuit rider after informed review. Nevada law governs to the extent applicable; any court proceeding requires lawful jurisdiction and venue.</w:t>
      </w:r>
    </w:p>
    <w:p>
      <w:pPr>
        <w:pStyle w:val="Heading2"/>
      </w:pPr>
      <w:r>
        <w:t>Customer authorization</w:t>
      </w:r>
    </w:p>
    <w:p>
      <w:r>
        <w:t>Authorized signer / title  ____________________________________________</w:t>
      </w:r>
    </w:p>
    <w:p>
      <w:r>
        <w:t>Signature  ______________________________    Date  __________________</w:t>
      </w:r>
    </w:p>
    <w:p>
      <w:pPr>
        <w:pStyle w:val="Heading2"/>
      </w:pPr>
      <w:r>
        <w:t>Quote provider acceptance</w:t>
      </w:r>
    </w:p>
    <w:p>
      <w:r>
        <w:t>Authorized signer / title  ____________________________________________</w:t>
      </w:r>
    </w:p>
    <w:p>
      <w:r>
        <w:t>Signature  ______________________________    Date  __________________</w:t>
      </w:r>
    </w:p>
    <w:p>
      <w:pPr>
        <w:pStyle w:val="Heading2"/>
      </w:pPr>
      <w:r>
        <w:t>Separate installer, only if a direct party named in the quote</w:t>
      </w:r>
    </w:p>
    <w:p>
      <w:r>
        <w:t>Authorized signer / title  ____________________________________________</w:t>
      </w:r>
    </w:p>
    <w:p>
      <w:r>
        <w:t>Signature  ______________________________    Date  __________________</w:t>
      </w:r>
    </w:p>
    <w:p>
      <w:pPr>
        <w:pStyle w:val="Heading2"/>
      </w:pPr>
      <w:r>
        <w:t>Completion record</w:t>
      </w:r>
    </w:p>
    <w:p>
      <w:r>
        <w:t>Actual installer / completion date / work and tests  ____________________________________________</w:t>
      </w:r>
    </w:p>
    <w:p>
      <w:r>
        <w:t>Unresolved defects / follow-up / final invoice  ____________________________________________</w:t>
      </w:r>
    </w:p>
    <w:p>
      <w:r>
        <w:t>Customer acknowledgment / date  ____________________________________________</w:t>
      </w:r>
    </w:p>
    <w:p>
      <w:pPr>
        <w:pStyle w:val="Heading2"/>
      </w:pPr>
      <w:r>
        <w:t>Signing and retention</w:t>
      </w:r>
    </w:p>
    <w:p>
      <w:r>
        <w:t>Complete and review the agreement and every applicable schedule before uploading a PDF for signatures. Check signer identity, authority and contact. The NVATM signing flow requires consent to electronic records, review of the exact document, authority affirmation and intentional typed signature. A private link and separate code do not independently certify identity. Each party should receive the complete final PDF, signature record and later amendments, and keep an independent backup.</w:t>
      </w:r>
    </w:p>
    <w:p>
      <w:r>
        <w:t>A saved draft, signature capture, owner-entered status or website submission does not verify insurance, funding, permits, processor approval or operational readiness. NVATM separately records those checks before launch. Contractual records policy: retain agreements, approvals and accounting records for seven years after final settlement, or longer when law, processor rules or preservation duties require. Do not retain prohibited card data.</w:t>
      </w:r>
    </w:p>
    <w:p>
      <w:pPr>
        <w:pStyle w:val="Heading2"/>
      </w:pPr>
      <w:r>
        <w:t>Preparation references</w:t>
      </w:r>
    </w:p>
    <w:p>
      <w:r>
        <w:t>Nevada electronic transactions: https://www.leg.state.nv.us/nrs/nrs-719.html. FFIEC guidance on independent ATM owners and operators: https://bsaaml.ffiec.gov/manual/RisksAssociatedWithMoneyLaunderingAndTerroristFinancing/12. Reviewed October 7, 2026. These sources inform consent, accurate retention, cash-source and operating records; they do not approve this contract or the actual Switch Commerce account arrangements.</w:t>
      </w:r>
    </w:p>
    <w:p>
      <w:pPr>
        <w:pStyle w:val="Heading1"/>
        <w:pageBreakBefore/>
      </w:pPr>
      <w:r>
        <w:t>Optional mutual no-lawsuit rider</w:t>
      </w:r>
    </w:p>
    <w:p>
      <w:r>
        <w:t>Separate, voluntary election. This rider does not apply merely because a master agreement, website checkbox or status label mentions it. Complete the underlying agreement references and obtain individual Nevada legal advice before execution.</w:t>
      </w:r>
    </w:p>
    <w:p>
      <w:r>
        <w:t>Underlying agreement reference and date  ____________________________________________</w:t>
      </w:r>
    </w:p>
    <w:p>
      <w:r>
        <w:t>Exact legal names of all affected parties  ____________________________________________</w:t>
      </w:r>
    </w:p>
    <w:p>
      <w:pPr>
        <w:pStyle w:val="Heading2"/>
      </w:pPr>
      <w:r>
        <w:t>Choice and practical consequence</w:t>
      </w:r>
    </w:p>
    <w:p>
      <w:r>
        <w:t>The signing parties mutually covenant not to start an ordinary civil lawsuit against another signing party solely to collect payment or enforce ordinary promises under the identified agreement. No arbitration is required. If another signer will not voluntarily pay or perform, this choice may remove ordinary court collection and enforcement options. Discussion, termination and good records do not assure recovery. A party may decline this rider without losing the underlying agreement.</w:t>
      </w:r>
    </w:p>
    <w:p>
      <w:pPr>
        <w:pStyle w:val="Heading2"/>
      </w:pPr>
      <w:r>
        <w:t>Process and limits</w:t>
      </w:r>
    </w:p>
    <w:p>
      <w:r>
        <w:t>Give a written notice with the facts and relevant records. Confer within 15 calendar days, exchange reasonably necessary records and put any settlement in writing. Mediation requires mutual agreement. If unresolved after 30 calendar days, use the underlying agreement’s orderly exit rights. This rider does not forgive earned debts or transfer ownership of cash, equipment or records.</w:t>
      </w:r>
    </w:p>
    <w:p>
      <w:r>
        <w:t>It does not bind nonsigners, waive nonwaivable rights, prevent lawful reporting or government action, restrict cardholder rights, or cover fraud, intentional misconduct, bodily injury or duties outside the identified agreement. Lawful relief to recover owned cash or equipment or address an immediate safety or security threat remains available. Courts may determine applicability and enforceability. This rider creates no jurisdiction or new remedy. If its essential mutual covenant is unenforceable, the underlying dispute terms continue.</w:t>
      </w:r>
    </w:p>
    <w:p>
      <w:r>
        <w:t>A signer may withdraw prospectively on 30 days’ written notice. Withdrawal does not by itself revive claims already covered by an effective covenant; counsel must review this consequence. Amendments require all affected signers. Each signer confirms an opportunity for independent legal advice, understands the potential loss of ordinary enforcement and elects this rider voluntarily. Effective only when every affected party signs the same completed rider.</w:t>
      </w:r>
    </w:p>
    <w:p>
      <w:pPr>
        <w:pStyle w:val="Heading2"/>
      </w:pPr>
      <w:r>
        <w:t>Merchant or service customer / other counterparty named above</w:t>
      </w:r>
    </w:p>
    <w:p>
      <w:r>
        <w:t>Authorized signer / title  ____________________________________________</w:t>
      </w:r>
    </w:p>
    <w:p>
      <w:r>
        <w:t>Signature  ______________________________    Date  __________________</w:t>
      </w:r>
    </w:p>
    <w:p>
      <w:pPr>
        <w:pStyle w:val="Heading2"/>
      </w:pPr>
      <w:r>
        <w:t>NVATM or the actual quote provider named above</w:t>
      </w:r>
    </w:p>
    <w:p>
      <w:r>
        <w:t>Authorized signer / title  ____________________________________________</w:t>
      </w:r>
    </w:p>
    <w:p>
      <w:r>
        <w:t>Signature  ______________________________    Date  __________________</w:t>
      </w:r>
    </w:p>
    <w:p>
      <w:r>
        <w:t>If a wrap agreement has a separate direct installer, add its exact legal name and separate signature before activating the rider. If anyone declines, ordinary underlying dispute terms remain. No contractor becomes an affected party merely by assisting NVATM.</w:t>
      </w:r>
    </w:p>
    <w:p>
      <w:pPr>
        <w:pStyle w:val="Heading1"/>
        <w:pageBreakBefore/>
      </w:pPr>
      <w:r>
        <w:t>ATM purchase and owner operation</w:t>
      </w:r>
    </w:p>
    <w:p>
      <w:r>
        <w:t>This separate agreement covers a business buying its ATM from Matthew Winterhawk, an individual sole proprietor doing business as NVATM, with optional training and monthly management. It is not the NVATM-owned placement agreement. Complete all applicable fields and attach the accepted itemized quote before signing. Blank fees are not authorization to charge.</w:t>
      </w:r>
    </w:p>
    <w:p>
      <w:r>
        <w:t>Buyer exact legal name and authorized representative  ____________________________________________</w:t>
      </w:r>
    </w:p>
    <w:p>
      <w:r>
        <w:t>Buyer notice contact and delivery site  ____________________________________________</w:t>
      </w:r>
    </w:p>
    <w:p>
      <w:r>
        <w:t>NVATM notice contact and quote reference  ____________________________________________</w:t>
      </w:r>
    </w:p>
    <w:p>
      <w:pPr>
        <w:pStyle w:val="Heading2"/>
      </w:pPr>
      <w:r>
        <w:t>Equipment and the written purchase price</w:t>
      </w:r>
    </w:p>
    <w:p>
      <w:r>
        <w:t>Manufacturer, model, configuration and serial or order reference  ____________________________________________</w:t>
      </w:r>
    </w:p>
    <w:p>
      <w:r>
        <w:t>New or used condition, disclosed defects and included accessories  ____________________________________________</w:t>
      </w:r>
    </w:p>
    <w:p>
      <w:r>
        <w:t>Equipment price, delivery, installation, training, tax and total  ____________________________________________</w:t>
      </w:r>
    </w:p>
    <w:p>
      <w:r>
        <w:t>Deposit, balance due date and delivery or installation target  ____________________________________________</w:t>
      </w:r>
    </w:p>
    <w:p>
      <w:r>
        <w:t>Warranty provider, term, coverage, exclusions and claim contact  ____________________________________________</w:t>
      </w:r>
    </w:p>
    <w:p>
      <w:r>
        <w:t>Inspection period, acceptance checks and return policy  ____________________________________________</w:t>
      </w:r>
    </w:p>
    <w:p>
      <w:r>
        <w:t>The parties approve the exact equipment, condition, supported software and processor compatibility before ordering. Availability and delivery dates must be confirmed. NVATM supplies goods conforming to the agreed description and discloses defects and warranty terms before payment. Nothing here excludes an express warranty or applicable implied warranty. Manufacturer coverage does not replace NVATM obligations imposed by this agreement or applicable law.</w:t>
      </w:r>
    </w:p>
    <w:p>
      <w:r>
        <w:t>Unless an attached signed schedule expressly provides otherwise, title passes after full purchase payment and delivery of the identified equipment. NVATM conveys good title free of undisclosed liens. Risk of physical loss passes on delivery and the documented acceptance checks, except for loss NVATM causes. Any credit, financing, security interest or title reservation needs a separate reviewed agreement; this template creates none.</w:t>
      </w:r>
    </w:p>
    <w:p>
      <w:pPr>
        <w:pStyle w:val="Heading2"/>
      </w:pPr>
      <w:r>
        <w:t>Cancellation and delivery problems</w:t>
      </w:r>
    </w:p>
    <w:p>
      <w:r>
        <w:t>Before a supplier order or custom work is committed, either party may cancel the unperformed purchase and reconcile the deposit, less only costs the Buyer expressly approved as noncancelable before they were incurred. Once committed, the accepted quote states the return and cancellation rules. No undisclosed restocking fee applies. Identify and resolve delivery damage, shortages or nonconformity promptly; acceptance does not waive concealed defects or nonwaivable rights. A completed sale is not a month-to-month equipment rental or an unconditional buyback promise.</w:t>
      </w:r>
    </w:p>
    <w:p>
      <w:pPr>
        <w:pStyle w:val="Heading1"/>
        <w:pageBreakBefore/>
      </w:pPr>
      <w:r>
        <w:t>Training processing and monthly support</w:t>
      </w:r>
    </w:p>
    <w:p>
      <w:pPr>
        <w:pStyle w:val="Heading2"/>
      </w:pPr>
      <w:r>
        <w:t>Choose who operates the machine</w:t>
      </w:r>
    </w:p>
    <w:p>
      <w:r>
        <w:t>[ ] Buyer operates in house after agreed training.  [ ] Buyer buys the ATM and selects NVATM monthly management. Select one and describe all exceptions in the attached scope. Training may be purchased with either option; it does not authorize anyone to bypass processor controls or perform unsupported repairs.</w:t>
      </w:r>
    </w:p>
    <w:p>
      <w:r>
        <w:t>Training scope, price, attendees, delivery method and completion record  ____________________________________________</w:t>
      </w:r>
    </w:p>
    <w:p>
      <w:r>
        <w:t>Training may cover approved cash loading, balancing and reconciliation, routine machine care, approved reporting tools and escalation of faults. Buyer chooses authorized trained staff and remains responsible for its staff, daily controls, cash supplied, custody, replenishment and site access unless a separately accepted scope expressly assigns a task to NVATM. Record cash ownership and insurance separately; do not put cash balances, loading schedules or vault credentials in public forms.</w:t>
      </w:r>
    </w:p>
    <w:p>
      <w:pPr>
        <w:pStyle w:val="Heading2"/>
      </w:pPr>
      <w:r>
        <w:t>Processing and individual access</w:t>
      </w:r>
    </w:p>
    <w:p>
      <w:r>
        <w:t>Processor, account contracting party and approval reference  ____________________________________________</w:t>
      </w:r>
    </w:p>
    <w:p>
      <w:r>
        <w:t>One-time, per-transaction, monthly, connectivity and other charges  ____________________________________________</w:t>
      </w:r>
    </w:p>
    <w:p>
      <w:r>
        <w:t>Surcharge, interchange recipient, settlement route and reporting duties  ____________________________________________</w:t>
      </w:r>
    </w:p>
    <w:p>
      <w:r>
        <w:t>Approved named users, permission scope and account administrator  ____________________________________________</w:t>
      </w:r>
    </w:p>
    <w:p>
      <w:r>
        <w:t>A purchase alone does not create a processing account or authorize live transactions. Processing requires separate accepted terms, underwriting and network approval. Where approved, NVATM may administer terminals through its Switch Commerce processing account. A Buyer login is a processor-approved individual role limited to authorized terminals; NVATM does not share its master credentials or promise features the processor has not approved. A separate Buyer processing account or migration requires its own approval. Never share passwords or another merchant’s records.</w:t>
      </w:r>
    </w:p>
    <w:p>
      <w:pPr>
        <w:pStyle w:val="Heading2"/>
      </w:pPr>
      <w:r>
        <w:t>Optional monthly NVATM management</w:t>
      </w:r>
    </w:p>
    <w:p>
      <w:r>
        <w:t>Monthly fee or Not selected, start date and billing date  ____________________________________________</w:t>
      </w:r>
    </w:p>
    <w:p>
      <w:r>
        <w:t>Included monitoring, reporting, remote support and other tasks  ____________________________________________</w:t>
      </w:r>
    </w:p>
    <w:p>
      <w:r>
        <w:t>Support hours, response target, exclusions and spending cap  ____________________________________________</w:t>
      </w:r>
    </w:p>
    <w:p>
      <w:r>
        <w:t>Extra labor, travel, parts, software and renewal charges or none  ____________________________________________</w:t>
      </w:r>
    </w:p>
    <w:p>
      <w:r>
        <w:t>Only the completed scope is included. Management does not automatically include vault cash, loading visits, repairs, parts, insurance or unlimited support. Itemize and obtain written approval for extras. No minimum income, transaction count, uninterrupted operation or repair outcome is guaranteed. The $1.75 allocation and $0-placement promises apply only to the separate NVATM-owned placement plan; they do not automatically apply to a purchased ATM. Buyer revenue and fees follow this accepted schedule and processor terms.</w:t>
      </w:r>
    </w:p>
    <w:p>
      <w:pPr>
        <w:pStyle w:val="Heading1"/>
        <w:pageBreakBefore/>
      </w:pPr>
      <w:r>
        <w:t>Ownership support exit and signatures</w:t>
      </w:r>
    </w:p>
    <w:p>
      <w:pPr>
        <w:pStyle w:val="Heading2"/>
      </w:pPr>
      <w:r>
        <w:t>Protect each party and the purchased equipment</w:t>
      </w:r>
    </w:p>
    <w:p>
      <w:r>
        <w:t>Buyer provides lawful site access, electricity, connectivity and the operating controls assigned in the accepted scope. Confirm required installation, accessibility, licensing and insurance before activation. Each party is responsible for its own promises, personnel and direct loss caused by its breach, negligence or willful misconduct; NVATM remains responsible for its accepted subcontracted work. No blanket transfer of cash losses or guarantee of another party’s obligations is created.</w:t>
      </w:r>
    </w:p>
    <w:p>
      <w:pPr>
        <w:pStyle w:val="Heading2"/>
      </w:pPr>
      <w:r>
        <w:t>End optional support without surrendering ownership</w:t>
      </w:r>
    </w:p>
    <w:p>
      <w:r>
        <w:t>Optional monthly management is month to month. Either party may end it on 30 calendar days’ written notice, including low use, unprofitability or a changed business need, without an early-termination penalty. An earlier ordinary exit requires mutual written agreement. Buyer pays earned charges and previously approved commitments actually incurred. Prorate the final monthly management fee through the effective termination date and refund any unused prepaid remainder within 30 days, less agreed earned amounts. Separate processor fees and exit procedures follow their accepted agreement and must be disclosed before enrollment.</w:t>
      </w:r>
    </w:p>
    <w:p>
      <w:r>
        <w:t>Ending management does not undo a completed equipment sale, require a buyback, permit NVATM to take Buyer-owned equipment or cash, or create a claim for projected future management fees. NVATM returns Buyer-owned records reasonably needed for operation, reconciles outstanding items and cooperates with an authorized processor handoff. Revoke only NVATM access that is no longer authorized; maintain secure individual access and do not transfer master credentials. Buyer may operate in house only after necessary training, permissions and processor continuity are confirmed.</w:t>
      </w:r>
    </w:p>
    <w:p>
      <w:r>
        <w:t>For an ordinary material breach, give written particulars and ten calendar days to cure. Either party may promptly suspend only affected work for a reasonable safety, security, fraud or unlawful-operation concern, explaining and mitigating the issue. Suspension does not transfer property ownership or erase earned payment and record-return duties. Recovery of property must be lawful and peaceful.</w:t>
      </w:r>
    </w:p>
    <w:p>
      <w:pPr>
        <w:pStyle w:val="Heading2"/>
      </w:pPr>
      <w:r>
        <w:t>Written terms and resolution</w:t>
      </w:r>
    </w:p>
    <w:p>
      <w:r>
        <w:t>The completed three-page purchase and support agreement, accepted quote and attached scope govern. Other packet agreements apply only when expressly incorporated and accepted. Website updates do not amend signed terms. Notices use the contacts above and are effective on acknowledged electronic receipt or documented delivery. Representatives first discuss a dispute within 15 calendar days after written notice; mediation is voluntary. There is no mandatory arbitration. Ordinary lawful remedies remain available unless a separately reviewed and signed optional rider applies. Nevada law governs to the extent applicable; lawful jurisdiction and nonwaivable rights are preserved.</w:t>
      </w:r>
    </w:p>
    <w:p>
      <w:r>
        <w:t>Both parties accept the completed equipment, prices, warranty, operating responsibilities and selected support scope. Electronic signatures and counterparts are permitted, with a complete reproducible copy for each party. A signature is not processor approval or permission to activate an unready terminal.</w:t>
      </w:r>
    </w:p>
    <w:p>
      <w:r>
        <w:t>Buyer authorized signer and title  ____________________________________________</w:t>
      </w:r>
    </w:p>
    <w:p>
      <w:r>
        <w:t>Signature ____________________________  Date __________________</w:t>
      </w:r>
    </w:p>
    <w:p>
      <w:r>
        <w:t>NVATM Matthew Winterhawk dba NVATM  ____________________________________________</w:t>
      </w:r>
    </w:p>
    <w:p>
      <w:r>
        <w:t>Signature ____________________________  Date __________________</w:t>
      </w:r>
    </w:p>
    <w:sectPr w:rsidR="00FC693F" w:rsidRPr="0006063C" w:rsidSect="00034616">
      <w:headerReference w:type="default" r:id="rId9"/>
      <w:footerReference w:type="default" r:id="rId10"/>
      <w:pgSz w:w="12240" w:h="15840"/>
      <w:pgMar w:top="1008"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sz w:val="16"/>
      </w:rPr>
      <w:t xml:space="preserve">Unsigned template | Complete applicable fields before signature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color w:val="4B4B4B"/>
        <w:sz w:val="16"/>
      </w:rPr>
      <w:t>NVATM | MERCHANT AGREEMENTS / DIRECT OPERATION | 2026 10 07 R3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2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2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before="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45"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MERCHANT AGREEMENTS / DIRECT OPERATION</dc:title>
  <dc:subject>NVATM direct operation; explicit financial-fit exit and property return; unsigned revision 3</dc:subject>
  <dc:creator>NVATM</dc:creator>
  <cp:keywords/>
  <dc:description>generated by python-docx</dc:description>
  <cp:lastModifiedBy/>
  <cp:revision>1</cp:revision>
  <dcterms:created xsi:type="dcterms:W3CDTF">2013-12-23T23:15:00Z</dcterms:created>
  <dcterms:modified xsi:type="dcterms:W3CDTF">2013-12-23T23:15:00Z</dcterms:modified>
  <cp:category/>
</cp:coreProperties>
</file>